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320" w:line="240" w:lineRule="auto"/>
      </w:pPr>
      <w:r>
        <w:drawing>
          <wp:inline xmlns:a="http://schemas.openxmlformats.org/drawingml/2006/main" xmlns:pic="http://schemas.openxmlformats.org/drawingml/2006/picture">
            <wp:extent cx="1051560" cy="248285"/>
            <wp:docPr id="1" name="Picture 1"/>
            <wp:cNvGraphicFramePr>
              <a:graphicFrameLocks noChangeAspect="1"/>
            </wp:cNvGraphicFramePr>
            <a:graphic>
              <a:graphicData uri="http://schemas.openxmlformats.org/drawingml/2006/picture">
                <pic:pic>
                  <pic:nvPicPr>
                    <pic:cNvPr id="0" name="ack3-wordmark-ink.png"/>
                    <pic:cNvPicPr/>
                  </pic:nvPicPr>
                  <pic:blipFill>
                    <a:blip r:embed="rId11"/>
                    <a:stretch>
                      <a:fillRect/>
                    </a:stretch>
                  </pic:blipFill>
                  <pic:spPr>
                    <a:xfrm>
                      <a:off x="0" y="0"/>
                      <a:ext cx="1051560" cy="248285"/>
                    </a:xfrm>
                    <a:prstGeom prst="rect"/>
                  </pic:spPr>
                </pic:pic>
              </a:graphicData>
            </a:graphic>
          </wp:inline>
        </w:drawing>
      </w:r>
    </w:p>
    <w:p>
      <w:pPr>
        <w:spacing w:before="0" w:after="120" w:line="240" w:lineRule="auto"/>
      </w:pPr>
      <w:r>
        <w:rPr>
          <w:rFonts w:ascii="Arial" w:hAnsi="Arial"/>
          <w:b/>
          <w:i w:val="0"/>
          <w:color w:val="BB00BB"/>
          <w:sz w:val="18"/>
        </w:rPr>
        <w:t>FOR IMMEDIATE RELEASE</w:t>
      </w:r>
    </w:p>
    <w:p>
      <w:pPr>
        <w:spacing w:before="0" w:after="160" w:line="240" w:lineRule="auto"/>
      </w:pPr>
      <w:r>
        <w:rPr>
          <w:rFonts w:ascii="Arial" w:hAnsi="Arial"/>
          <w:b/>
          <w:i w:val="0"/>
          <w:color w:val="0A0A0C"/>
          <w:sz w:val="44"/>
        </w:rPr>
        <w:t>Audited Did Not Mean Covered: 94% of H1 Crypto Losses at Audited Victims Fell Outside Audit Scope, ack3 Research Finds</w:t>
      </w:r>
    </w:p>
    <w:p>
      <w:pPr>
        <w:spacing w:before="0" w:after="320" w:line="276" w:lineRule="auto"/>
      </w:pPr>
      <w:r>
        <w:rPr>
          <w:rFonts w:ascii="Arial" w:hAnsi="Arial"/>
          <w:b/>
          <w:i w:val="0"/>
          <w:color w:val="5A5A60"/>
          <w:sz w:val="25"/>
        </w:rPr>
        <w:t>Evidence-graded analysis of 135 incidents separates audit status from the scope and age of the review</w:t>
      </w:r>
    </w:p>
    <w:p>
      <w:pPr>
        <w:keepLines/>
        <w:spacing w:before="0" w:after="120" w:line="264" w:lineRule="auto"/>
      </w:pPr>
      <w:r>
        <w:rPr>
          <w:rFonts w:ascii="Calibri" w:hAnsi="Calibri"/>
          <w:b/>
          <w:i w:val="0"/>
          <w:color w:val="0A0A0C"/>
          <w:sz w:val="22"/>
        </w:rPr>
        <w:t>PRAGUE, Czech Republic — July 23, 2026</w:t>
      </w:r>
      <w:r>
        <w:rPr>
          <w:rFonts w:ascii="Calibri" w:hAnsi="Calibri"/>
          <w:b w:val="0"/>
          <w:i w:val="0"/>
          <w:color w:val="0A0A0C"/>
          <w:sz w:val="22"/>
        </w:rPr>
        <w:t xml:space="preserve"> — Web3 cybersecurity company ack3 today published an evidence-graded analysis of 135 confirmed or likely DeFi and crypto incidents that met a two-source verification bar in the first half of 2026. The incidents caused $939.86 million in losses. The analysis maps each incident to available audit reports, the components those reviews covered and the age of the closest relevant audit. It shows why the question “Was it audited?” obscures the security state of a live system.</w:t>
      </w:r>
    </w:p>
    <w:tbl>
      <w:tblPr>
        <w:tblW w:type="dxa" w:w="9360"/>
        <w:jc w:val="left"/>
        <w:tblLayout w:type="fixed"/>
        <w:tblLook w:firstColumn="1" w:firstRow="1" w:lastColumn="0" w:lastRow="0" w:noHBand="0" w:noVBand="1" w:val="04A0"/>
        <w:tblInd w:w="120" w:type="dxa"/>
      </w:tblPr>
      <w:tblGrid>
        <w:gridCol w:w="3120"/>
        <w:gridCol w:w="3120"/>
        <w:gridCol w:w="3120"/>
      </w:tblGrid>
      <w:tr>
        <w:tc>
          <w:tcPr>
            <w:tcW w:type="dxa" w:w="3120"/>
            <w:vAlign w:val="top"/>
            <w:tcMar>
              <w:top w:w="80" w:type="dxa"/>
              <w:bottom w:w="80" w:type="dxa"/>
              <w:start w:w="120" w:type="dxa"/>
              <w:end w:w="120" w:type="dxa"/>
            </w:tcMar>
            <w:shd w:fill="F2F4F7"/>
            <w:tcBorders>
              <w:top w:val="single" w:sz="6" w:color="D7D7DC"/>
              <w:left w:val="single" w:sz="6" w:color="D7D7DC"/>
              <w:bottom w:val="single" w:sz="6" w:color="D7D7DC"/>
              <w:right w:val="single" w:sz="6" w:color="D7D7DC"/>
              <w:insideH w:val="single" w:sz="6" w:color="D7D7DC"/>
              <w:insideV w:val="single" w:sz="6" w:color="D7D7DC"/>
            </w:tcBorders>
          </w:tcPr>
          <w:p>
            <w:pPr>
              <w:spacing w:before="0" w:after="20" w:line="240" w:lineRule="auto"/>
              <w:jc w:val="center"/>
            </w:pPr>
            <w:r>
              <w:rPr>
                <w:rFonts w:ascii="Arial" w:hAnsi="Arial"/>
                <w:b/>
                <w:i w:val="0"/>
                <w:color w:val="0A0A0C"/>
                <w:sz w:val="32"/>
              </w:rPr>
              <w:t>135</w:t>
            </w:r>
          </w:p>
        </w:tc>
        <w:tc>
          <w:tcPr>
            <w:tcW w:type="dxa" w:w="3120"/>
            <w:vAlign w:val="top"/>
            <w:tcMar>
              <w:top w:w="80" w:type="dxa"/>
              <w:bottom w:w="80" w:type="dxa"/>
              <w:start w:w="120" w:type="dxa"/>
              <w:end w:w="120" w:type="dxa"/>
            </w:tcMar>
            <w:shd w:fill="F2F4F7"/>
            <w:tcBorders>
              <w:top w:val="single" w:sz="6" w:color="D7D7DC"/>
              <w:left w:val="single" w:sz="6" w:color="D7D7DC"/>
              <w:bottom w:val="single" w:sz="6" w:color="D7D7DC"/>
              <w:right w:val="single" w:sz="6" w:color="D7D7DC"/>
              <w:insideH w:val="single" w:sz="6" w:color="D7D7DC"/>
              <w:insideV w:val="single" w:sz="6" w:color="D7D7DC"/>
            </w:tcBorders>
          </w:tcPr>
          <w:p>
            <w:pPr>
              <w:spacing w:before="0" w:after="20" w:line="240" w:lineRule="auto"/>
              <w:jc w:val="center"/>
            </w:pPr>
            <w:r>
              <w:rPr>
                <w:rFonts w:ascii="Arial" w:hAnsi="Arial"/>
                <w:b/>
                <w:i w:val="0"/>
                <w:color w:val="0A0A0C"/>
                <w:sz w:val="32"/>
              </w:rPr>
              <w:t>$939.86M</w:t>
            </w:r>
          </w:p>
        </w:tc>
        <w:tc>
          <w:tcPr>
            <w:tcW w:type="dxa" w:w="3120"/>
            <w:vAlign w:val="top"/>
            <w:tcMar>
              <w:top w:w="80" w:type="dxa"/>
              <w:bottom w:w="80" w:type="dxa"/>
              <w:start w:w="120" w:type="dxa"/>
              <w:end w:w="120" w:type="dxa"/>
            </w:tcMar>
            <w:shd w:fill="F2F4F7"/>
            <w:tcBorders>
              <w:top w:val="single" w:sz="6" w:color="D7D7DC"/>
              <w:left w:val="single" w:sz="6" w:color="D7D7DC"/>
              <w:bottom w:val="single" w:sz="6" w:color="D7D7DC"/>
              <w:right w:val="single" w:sz="6" w:color="D7D7DC"/>
              <w:insideH w:val="single" w:sz="6" w:color="D7D7DC"/>
              <w:insideV w:val="single" w:sz="6" w:color="D7D7DC"/>
            </w:tcBorders>
          </w:tcPr>
          <w:p>
            <w:pPr>
              <w:spacing w:before="0" w:after="20" w:line="240" w:lineRule="auto"/>
              <w:jc w:val="center"/>
            </w:pPr>
            <w:r>
              <w:rPr>
                <w:rFonts w:ascii="Arial" w:hAnsi="Arial"/>
                <w:b/>
                <w:i w:val="0"/>
                <w:color w:val="0A0A0C"/>
                <w:sz w:val="32"/>
              </w:rPr>
              <w:t>94.4%</w:t>
            </w:r>
          </w:p>
        </w:tc>
      </w:tr>
      <w:tr>
        <w:tc>
          <w:tcPr>
            <w:tcW w:type="dxa" w:w="3120"/>
            <w:vAlign w:val="top"/>
            <w:tcMar>
              <w:top w:w="80" w:type="dxa"/>
              <w:bottom w:w="80" w:type="dxa"/>
              <w:start w:w="120" w:type="dxa"/>
              <w:end w:w="120" w:type="dxa"/>
            </w:tcMar>
            <w:shd w:fill="F2F4F7"/>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40" w:lineRule="auto"/>
              <w:jc w:val="center"/>
            </w:pPr>
            <w:r>
              <w:rPr>
                <w:rFonts w:ascii="Arial" w:hAnsi="Arial"/>
                <w:b/>
                <w:i w:val="0"/>
                <w:color w:val="5A5A60"/>
                <w:sz w:val="16"/>
              </w:rPr>
              <w:t>COUNTED INCIDENTS</w:t>
            </w:r>
          </w:p>
        </w:tc>
        <w:tc>
          <w:tcPr>
            <w:tcW w:type="dxa" w:w="3120"/>
            <w:vAlign w:val="top"/>
            <w:tcMar>
              <w:top w:w="80" w:type="dxa"/>
              <w:bottom w:w="80" w:type="dxa"/>
              <w:start w:w="120" w:type="dxa"/>
              <w:end w:w="120" w:type="dxa"/>
            </w:tcMar>
            <w:shd w:fill="F2F4F7"/>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40" w:lineRule="auto"/>
              <w:jc w:val="center"/>
            </w:pPr>
            <w:r>
              <w:rPr>
                <w:rFonts w:ascii="Arial" w:hAnsi="Arial"/>
                <w:b/>
                <w:i w:val="0"/>
                <w:color w:val="5A5A60"/>
                <w:sz w:val="16"/>
              </w:rPr>
              <w:t>ESTIMATED LOSSES</w:t>
            </w:r>
          </w:p>
        </w:tc>
        <w:tc>
          <w:tcPr>
            <w:tcW w:type="dxa" w:w="3120"/>
            <w:vAlign w:val="top"/>
            <w:tcMar>
              <w:top w:w="80" w:type="dxa"/>
              <w:bottom w:w="80" w:type="dxa"/>
              <w:start w:w="120" w:type="dxa"/>
              <w:end w:w="120" w:type="dxa"/>
            </w:tcMar>
            <w:shd w:fill="F2F4F7"/>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40" w:lineRule="auto"/>
              <w:jc w:val="center"/>
            </w:pPr>
            <w:r>
              <w:rPr>
                <w:rFonts w:ascii="Arial" w:hAnsi="Arial"/>
                <w:b/>
                <w:i w:val="0"/>
                <w:color w:val="5A5A60"/>
                <w:sz w:val="16"/>
              </w:rPr>
              <w:t>OUTSIDE IDENTIFIED SCOPE</w:t>
            </w:r>
          </w:p>
        </w:tc>
      </w:tr>
    </w:tbl>
    <w:p>
      <w:pPr>
        <w:keepLines/>
        <w:spacing w:before="0" w:after="120" w:line="264" w:lineRule="auto"/>
      </w:pPr>
      <w:r>
        <w:rPr>
          <w:rFonts w:ascii="Calibri" w:hAnsi="Calibri"/>
          <w:b w:val="0"/>
          <w:i w:val="0"/>
          <w:color w:val="0A0A0C"/>
          <w:sz w:val="22"/>
        </w:rPr>
        <w:t>The answer exposes a coverage gap. Sixty-eight victims had at least one completed security audit. Of those, 46 incidents — representing $680.97 million, or 94.4% of all losses at audited victims — had only out-of-scope audit evidence. The exploited path ran through areas such as private keys, privileged operations, front ends, DNS, deployment configuration, governance or off-chain infrastructure rather than the reviewed code.</w:t>
      </w:r>
    </w:p>
    <w:p>
      <w:pPr>
        <w:keepLines/>
        <w:spacing w:before="0" w:after="120" w:line="264" w:lineRule="auto"/>
      </w:pPr>
      <w:r>
        <w:rPr>
          <w:rFonts w:ascii="Calibri" w:hAnsi="Calibri"/>
          <w:b w:val="0"/>
          <w:i w:val="0"/>
          <w:color w:val="0A0A0C"/>
          <w:sz w:val="22"/>
        </w:rPr>
        <w:t>Another 20 incidents, representing $35.21 million, involved code that was inside at least one audit’s stated scope. Only three of those incidents followed an audit completed less than six months earlier. Nine followed an audit six to 24 months earlier, and eight followed an audit at least 24 months earlier. Two additional audited incidents, representing $5.07 million, did not have enough public scope evidence to classify.</w:t>
      </w:r>
    </w:p>
    <w:p>
      <w:pPr>
        <w:keepLines/>
        <w:spacing w:before="0" w:after="120" w:line="264" w:lineRule="auto"/>
      </w:pPr>
      <w:r>
        <w:rPr>
          <w:rFonts w:ascii="Calibri" w:hAnsi="Calibri"/>
          <w:b w:val="0"/>
          <w:i w:val="0"/>
          <w:color w:val="0A0A0C"/>
          <w:sz w:val="22"/>
        </w:rPr>
        <w:t>“An audit is a timestamp and a boundary, not a lifetime warranty,” said Josef Gattermayer, Founder at ack3. “The old question was: ‘Was it audited?’ The useful questions are: ‘What exactly was audited, when, and what has changed since?’ A contract report cannot protect a leaked signing key, a compromised front end or a legacy deployment that no longer matches the reviewed code.”</w:t>
      </w:r>
    </w:p>
    <w:p>
      <w:pPr>
        <w:pStyle w:val="Heading2"/>
      </w:pPr>
      <w:r>
        <w:rPr>
          <w:rFonts w:ascii="Calibri" w:hAnsi="Calibri"/>
          <w:b/>
          <w:i w:val="0"/>
          <w:color w:val="0000DD"/>
          <w:sz w:val="26"/>
        </w:rPr>
        <w:t>Two failure modes behind the “audited” label</w:t>
      </w:r>
    </w:p>
    <w:p>
      <w:pPr>
        <w:keepNext/>
        <w:keepLines/>
        <w:spacing w:before="0" w:after="120" w:line="264" w:lineRule="auto"/>
      </w:pPr>
      <w:r>
        <w:rPr>
          <w:rFonts w:ascii="Calibri" w:hAnsi="Calibri"/>
          <w:b w:val="0"/>
          <w:i w:val="0"/>
          <w:color w:val="0A0A0C"/>
          <w:sz w:val="22"/>
        </w:rPr>
        <w:t>The research identifies two recurring reasons the audited label failed to describe the system’s actual security posture.</w:t>
      </w:r>
    </w:p>
    <w:p>
      <w:pPr>
        <w:keepLines/>
        <w:spacing w:before="0" w:after="120" w:line="264" w:lineRule="auto"/>
      </w:pPr>
      <w:r>
        <w:rPr>
          <w:rFonts w:ascii="Calibri" w:hAnsi="Calibri"/>
          <w:b w:val="0"/>
          <w:i w:val="0"/>
          <w:color w:val="0A0A0C"/>
          <w:sz w:val="22"/>
        </w:rPr>
        <w:t>First, audit coverage often stopped at a contract directory while the exploitable system continued through privileged signers, deployment pipelines, web applications, DNS, cross-chain verification and other off-chain services. For example, the Taiko Bridge incident began with a signing key exposed in an off-chain prover repository, while the Polymarket front-end incident used malicious JavaScript delivered through a compromised third-party dependency. In both cases, reviewed on-chain contracts were present, but the attack path crossed a boundary the contract audits did not cover.</w:t>
      </w:r>
    </w:p>
    <w:p>
      <w:pPr>
        <w:keepLines/>
        <w:spacing w:before="0" w:after="120" w:line="264" w:lineRule="auto"/>
      </w:pPr>
      <w:r>
        <w:rPr>
          <w:rFonts w:ascii="Calibri" w:hAnsi="Calibri"/>
          <w:b w:val="0"/>
          <w:i w:val="0"/>
          <w:color w:val="0A0A0C"/>
          <w:sz w:val="22"/>
        </w:rPr>
        <w:t>Second, point-in-time assurance aged. Among the 20 incidents with at least one in-scope audit match, 17 followed the closest relevant audit by six months or more. This is a time-gap signal, not evidence that age alone caused the exploits. Post-review code changes create new, out-of-scope code. The more useful interpretation is that relevant reviewed code remained exposed while dependencies, integrations, operational assumptions and attacker techniques evolved.</w:t>
      </w:r>
    </w:p>
    <w:p>
      <w:pPr>
        <w:keepLines/>
        <w:spacing w:before="0" w:after="120" w:line="264" w:lineRule="auto"/>
      </w:pPr>
      <w:r>
        <w:rPr>
          <w:rFonts w:ascii="Calibri" w:hAnsi="Calibri"/>
          <w:b w:val="0"/>
          <w:i w:val="0"/>
          <w:color w:val="0A0A0C"/>
          <w:sz w:val="22"/>
        </w:rPr>
        <w:t>The H1 dataset does not attribute any incident to artificial intelligence. ack3 treats AI as a pressure multiplier: it lowers the cost of searching across repositories, tracing dependencies and iterating on combined attack paths. Separate benchmark research, including EVMbench, now evaluates agents on vulnerability detection, patching and exploitation. Defenders should therefore assume that attackers can examine the seams between components, not only individual contracts.</w:t>
      </w:r>
    </w:p>
    <w:p>
      <w:pPr>
        <w:pStyle w:val="Heading2"/>
      </w:pPr>
      <w:r>
        <w:rPr>
          <w:rFonts w:ascii="Calibri" w:hAnsi="Calibri"/>
          <w:b/>
          <w:i w:val="0"/>
          <w:color w:val="0000DD"/>
          <w:sz w:val="26"/>
        </w:rPr>
        <w:t>From audit status to continuous coverage</w:t>
      </w:r>
    </w:p>
    <w:p>
      <w:pPr>
        <w:keepNext/>
        <w:keepLines/>
        <w:spacing w:before="0" w:after="120" w:line="264" w:lineRule="auto"/>
      </w:pPr>
      <w:r>
        <w:rPr>
          <w:rFonts w:ascii="Calibri" w:hAnsi="Calibri"/>
          <w:b w:val="0"/>
          <w:i w:val="0"/>
          <w:color w:val="0A0A0C"/>
          <w:sz w:val="22"/>
        </w:rPr>
        <w:t>ack3 recommends replacing the binary “audited / unaudited” label with a living security record:</w:t>
      </w:r>
    </w:p>
    <w:p>
      <w:pPr>
        <w:keepLines/>
        <w:spacing w:before="0" w:after="120" w:line="264" w:lineRule="auto"/>
      </w:pPr>
      <w:r>
        <w:rPr>
          <w:rFonts w:ascii="Calibri" w:hAnsi="Calibri"/>
          <w:b/>
          <w:i w:val="0"/>
          <w:color w:val="0A0A0C"/>
          <w:sz w:val="22"/>
        </w:rPr>
        <w:t>Scope map.</w:t>
      </w:r>
      <w:r>
        <w:rPr>
          <w:rFonts w:ascii="Calibri" w:hAnsi="Calibri"/>
          <w:b w:val="0"/>
          <w:i w:val="0"/>
          <w:color w:val="0A0A0C"/>
          <w:sz w:val="22"/>
        </w:rPr>
        <w:t xml:space="preserve"> Record which contracts, services, keys, roles, front ends, dependencies and deployment paths were reviewed — and which were not.</w:t>
      </w:r>
    </w:p>
    <w:p>
      <w:pPr>
        <w:keepLines/>
        <w:spacing w:before="0" w:after="120" w:line="264" w:lineRule="auto"/>
      </w:pPr>
      <w:r>
        <w:rPr>
          <w:rFonts w:ascii="Calibri" w:hAnsi="Calibri"/>
          <w:b/>
          <w:i w:val="0"/>
          <w:color w:val="0A0A0C"/>
          <w:sz w:val="22"/>
        </w:rPr>
        <w:t>Re-review triggers.</w:t>
      </w:r>
      <w:r>
        <w:rPr>
          <w:rFonts w:ascii="Calibri" w:hAnsi="Calibri"/>
          <w:b w:val="0"/>
          <w:i w:val="0"/>
          <w:color w:val="0A0A0C"/>
          <w:sz w:val="22"/>
        </w:rPr>
        <w:t xml:space="preserve"> Start a focused re-audit when critical code changes, dependencies or privileged roles change, a new chain or bridge is added, an old deployment remains live, or new attack classes emerge.</w:t>
      </w:r>
    </w:p>
    <w:p>
      <w:pPr>
        <w:keepLines/>
        <w:spacing w:before="0" w:after="120" w:line="264" w:lineRule="auto"/>
      </w:pPr>
      <w:r>
        <w:rPr>
          <w:rFonts w:ascii="Calibri" w:hAnsi="Calibri"/>
          <w:b/>
          <w:i w:val="0"/>
          <w:color w:val="0A0A0C"/>
          <w:sz w:val="22"/>
        </w:rPr>
        <w:t>Whole-system validation.</w:t>
      </w:r>
      <w:r>
        <w:rPr>
          <w:rFonts w:ascii="Calibri" w:hAnsi="Calibri"/>
          <w:b w:val="0"/>
          <w:i w:val="0"/>
          <w:color w:val="0A0A0C"/>
          <w:sz w:val="22"/>
        </w:rPr>
        <w:t xml:space="preserve"> Test combined paths across on-chain code and off-chain infrastructure rather than validating each component in isolation.</w:t>
      </w:r>
    </w:p>
    <w:p>
      <w:pPr>
        <w:keepLines/>
        <w:spacing w:before="0" w:after="120" w:line="264" w:lineRule="auto"/>
      </w:pPr>
      <w:r>
        <w:rPr>
          <w:rFonts w:ascii="Calibri" w:hAnsi="Calibri"/>
          <w:b/>
          <w:i w:val="0"/>
          <w:color w:val="0A0A0C"/>
          <w:sz w:val="22"/>
        </w:rPr>
        <w:t>Continuous review.</w:t>
      </w:r>
      <w:r>
        <w:rPr>
          <w:rFonts w:ascii="Calibri" w:hAnsi="Calibri"/>
          <w:b w:val="0"/>
          <w:i w:val="0"/>
          <w:color w:val="0A0A0C"/>
          <w:sz w:val="22"/>
        </w:rPr>
        <w:t xml:space="preserve"> Use expert manual review, AI-assisted analysis, fuzzing and monitoring during the security review and after deployment instead of treating the PDF as the end of the engagement.</w:t>
      </w:r>
    </w:p>
    <w:p>
      <w:pPr>
        <w:keepLines/>
        <w:spacing w:before="0" w:after="120" w:line="264" w:lineRule="auto"/>
      </w:pPr>
      <w:r>
        <w:rPr>
          <w:rFonts w:ascii="Calibri" w:hAnsi="Calibri"/>
          <w:b w:val="0"/>
          <w:i w:val="0"/>
          <w:color w:val="0A0A0C"/>
          <w:sz w:val="22"/>
        </w:rPr>
        <w:t>“This is not an argument against audits,” Gattermayer said. “It is an argument for audits that match the system being attacked. Attackers can already use AI to analyze code and the seams between components, so defenders need AI tooling alongside expert manual review. Scope should follow risk, and assurance should be renewed as the system and attack techniques change.”</w:t>
      </w:r>
    </w:p>
    <w:p>
      <w:pPr>
        <w:keepLines/>
        <w:spacing w:before="0" w:after="120" w:line="264" w:lineRule="auto"/>
      </w:pPr>
      <w:r>
        <w:rPr>
          <w:rFonts w:ascii="Calibri" w:hAnsi="Calibri"/>
          <w:b w:val="0"/>
          <w:i w:val="0"/>
          <w:color w:val="0A0A0C"/>
          <w:sz w:val="22"/>
        </w:rPr>
        <w:t>ack3 applies that model through the ack3 AI scan, which runs alongside manual review to trace dependencies, integrations and cross-component boundaries beyond a contract directory. Human auditors validate the findings, exploitability and risk.</w:t>
      </w:r>
    </w:p>
    <w:p>
      <w:pPr>
        <w:pStyle w:val="Heading2"/>
      </w:pPr>
      <w:r>
        <w:rPr>
          <w:rFonts w:ascii="Calibri" w:hAnsi="Calibri"/>
          <w:b/>
          <w:i w:val="0"/>
          <w:color w:val="0000DD"/>
          <w:sz w:val="26"/>
        </w:rPr>
        <w:t>About the research</w:t>
      </w:r>
    </w:p>
    <w:p>
      <w:pPr>
        <w:keepNext/>
        <w:keepLines/>
        <w:spacing w:before="0" w:after="120" w:line="264" w:lineRule="auto"/>
      </w:pPr>
      <w:r>
        <w:rPr>
          <w:rFonts w:ascii="Calibri" w:hAnsi="Calibri"/>
          <w:b w:val="0"/>
          <w:i w:val="0"/>
          <w:color w:val="0A0A0C"/>
          <w:sz w:val="22"/>
        </w:rPr>
        <w:t>The DeFi Hacks H1 2026 ledger covers confirmed and likely incidents from January 1 through June 29, 2026. Every counted incident required at least two independent sources. “Audited victim” means that at least one completed security audit was established for the project. Audit scope was then graded against the component used in the eventual attack. Auditor records were checked against firm reports or protocol audit archives where available, and pinned commits were checked when report-level evidence made commit verification possible.</w:t>
      </w:r>
    </w:p>
    <w:p>
      <w:pPr>
        <w:keepLines/>
        <w:spacing w:before="0" w:after="120" w:line="264" w:lineRule="auto"/>
      </w:pPr>
      <w:r>
        <w:rPr>
          <w:rFonts w:ascii="Calibri" w:hAnsi="Calibri"/>
          <w:b w:val="0"/>
          <w:i w:val="0"/>
          <w:color w:val="0A0A0C"/>
          <w:sz w:val="22"/>
        </w:rPr>
        <w:t>The interactive report, full dataset and flat incident table are available at:</w:t>
      </w:r>
    </w:p>
    <w:tbl>
      <w:tblPr>
        <w:tblW w:type="dxa" w:w="9360"/>
        <w:jc w:val="left"/>
        <w:tblLayout w:type="fixed"/>
        <w:tblLook w:firstColumn="1" w:firstRow="1" w:lastColumn="0" w:lastRow="0" w:noHBand="0" w:noVBand="1" w:val="04A0"/>
        <w:tblInd w:w="120" w:type="dxa"/>
      </w:tblPr>
      <w:tblGrid>
        <w:gridCol w:w="2600"/>
        <w:gridCol w:w="6760"/>
      </w:tblGrid>
      <w:tr>
        <w:tc>
          <w:tcPr>
            <w:tcW w:type="dxa" w:w="260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i w:val="0"/>
                <w:color w:val="5A5A60"/>
                <w:sz w:val="19"/>
              </w:rPr>
              <w:t>Report and dashboards</w:t>
            </w:r>
          </w:p>
        </w:tc>
        <w:tc>
          <w:tcPr>
            <w:tcW w:type="dxa" w:w="676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val="0"/>
                <w:i w:val="0"/>
                <w:color w:val="0000DD"/>
                <w:sz w:val="19"/>
              </w:rPr>
              <w:t>https://ack3.ai/research/defi-hacks-h1-2026/</w:t>
            </w:r>
          </w:p>
        </w:tc>
      </w:tr>
      <w:tr>
        <w:tc>
          <w:tcPr>
            <w:tcW w:type="dxa" w:w="260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i w:val="0"/>
                <w:color w:val="5A5A60"/>
                <w:sz w:val="19"/>
              </w:rPr>
              <w:t>Research brief</w:t>
            </w:r>
          </w:p>
        </w:tc>
        <w:tc>
          <w:tcPr>
            <w:tcW w:type="dxa" w:w="676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val="0"/>
                <w:i w:val="0"/>
                <w:color w:val="0000DD"/>
                <w:sz w:val="19"/>
              </w:rPr>
              <w:t>https://ack3.ai/research/defi-hacks-h1-2026/ack3-h1-2026-research-brief.pdf</w:t>
            </w:r>
          </w:p>
        </w:tc>
      </w:tr>
      <w:tr>
        <w:tc>
          <w:tcPr>
            <w:tcW w:type="dxa" w:w="260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i w:val="0"/>
                <w:color w:val="5A5A60"/>
                <w:sz w:val="19"/>
              </w:rPr>
              <w:t>Dataset</w:t>
            </w:r>
          </w:p>
        </w:tc>
        <w:tc>
          <w:tcPr>
            <w:tcW w:type="dxa" w:w="676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val="0"/>
                <w:i w:val="0"/>
                <w:color w:val="0000DD"/>
                <w:sz w:val="19"/>
              </w:rPr>
              <w:t>https://ack3.ai/research/defi-hacks-h1-2026/dataset.json</w:t>
            </w:r>
          </w:p>
        </w:tc>
      </w:tr>
      <w:tr>
        <w:tc>
          <w:tcPr>
            <w:tcW w:type="dxa" w:w="260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i w:val="0"/>
                <w:color w:val="5A5A60"/>
                <w:sz w:val="19"/>
              </w:rPr>
              <w:t>Media kit</w:t>
            </w:r>
          </w:p>
        </w:tc>
        <w:tc>
          <w:tcPr>
            <w:tcW w:type="dxa" w:w="6760"/>
            <w:vAlign w:val="top"/>
            <w:tcMar>
              <w:top w:w="80" w:type="dxa"/>
              <w:bottom w:w="80" w:type="dxa"/>
              <w:start w:w="120" w:type="dxa"/>
              <w:end w:w="120" w:type="dxa"/>
            </w:tcMar>
            <w:tcBorders>
              <w:top w:val="single" w:sz="6" w:color="D7D7DC"/>
              <w:left w:val="single" w:sz="6" w:color="D7D7DC"/>
              <w:bottom w:val="single" w:sz="6" w:color="D7D7DC"/>
              <w:right w:val="single" w:sz="6" w:color="D7D7DC"/>
              <w:insideH w:val="single" w:sz="6" w:color="D7D7DC"/>
              <w:insideV w:val="single" w:sz="6" w:color="D7D7DC"/>
            </w:tcBorders>
          </w:tcPr>
          <w:p>
            <w:pPr>
              <w:spacing w:before="0" w:after="0" w:line="264" w:lineRule="auto"/>
            </w:pPr>
            <w:r>
              <w:rPr>
                <w:rFonts w:ascii="Calibri" w:hAnsi="Calibri"/>
                <w:b w:val="0"/>
                <w:i w:val="0"/>
                <w:color w:val="0000DD"/>
                <w:sz w:val="19"/>
              </w:rPr>
              <w:t>https://ack3.ai/research/defi-hacks-h1-2026/ack3-h1-2026-media-kit.zip</w:t>
            </w:r>
          </w:p>
        </w:tc>
      </w:tr>
    </w:tbl>
    <w:p/>
    <w:p>
      <w:pPr>
        <w:keepLines/>
        <w:spacing w:before="0" w:after="120" w:line="264" w:lineRule="auto"/>
      </w:pPr>
      <w:r>
        <w:rPr>
          <w:rFonts w:ascii="Calibri" w:hAnsi="Calibri"/>
          <w:b w:val="0"/>
          <w:i w:val="0"/>
          <w:color w:val="0A0A0C"/>
          <w:sz w:val="22"/>
        </w:rPr>
        <w:t>Dataset version 1.0 was generated July 1, 2026. The public ledger includes confidence labels, primary-source links, evidence notes and a correction channel.</w:t>
      </w:r>
    </w:p>
    <w:p>
      <w:pPr>
        <w:pStyle w:val="Heading2"/>
      </w:pPr>
      <w:r>
        <w:rPr>
          <w:rFonts w:ascii="Calibri" w:hAnsi="Calibri"/>
          <w:b/>
          <w:i w:val="0"/>
          <w:color w:val="0000DD"/>
          <w:sz w:val="26"/>
        </w:rPr>
        <w:t>About ack3</w:t>
      </w:r>
    </w:p>
    <w:p>
      <w:pPr>
        <w:keepNext/>
        <w:keepLines/>
        <w:spacing w:before="0" w:after="120" w:line="264" w:lineRule="auto"/>
      </w:pPr>
      <w:r>
        <w:rPr>
          <w:rFonts w:ascii="Calibri" w:hAnsi="Calibri"/>
          <w:b w:val="0"/>
          <w:i w:val="0"/>
          <w:color w:val="0A0A0C"/>
          <w:sz w:val="22"/>
        </w:rPr>
        <w:t>ack3 (prev. Ackee Blockchain Security) is an AI-native cybersecurity company. The team has completed 237 audits of web3 protocols since 2021. ack3 combines expert manual review, Wake-based testing and fuzzing, and the ack3 AI scan. Its reviews cover smart contracts, integrations, cross-component boundaries and off-chain infrastructure, with work spanning design-stage threat modeling, security review and post-deployment monitoring.</w:t>
      </w:r>
    </w:p>
    <w:p>
      <w:pPr>
        <w:keepLines/>
        <w:spacing w:before="0" w:after="120" w:line="264" w:lineRule="auto"/>
      </w:pPr>
      <w:r>
        <w:rPr>
          <w:rFonts w:ascii="Calibri" w:hAnsi="Calibri"/>
          <w:b/>
          <w:i w:val="0"/>
          <w:color w:val="0A0A0C"/>
          <w:sz w:val="22"/>
        </w:rPr>
        <w:t>Media contact</w:t>
      </w:r>
    </w:p>
    <w:p>
      <w:pPr>
        <w:keepLines/>
        <w:spacing w:before="0" w:after="120" w:line="264" w:lineRule="auto"/>
      </w:pPr>
      <w:r>
        <w:rPr>
          <w:rFonts w:ascii="Calibri" w:hAnsi="Calibri"/>
          <w:b w:val="0"/>
          <w:i w:val="0"/>
          <w:color w:val="0A0A0C"/>
          <w:sz w:val="22"/>
        </w:rPr>
        <w:t>ACK3 LTD</w:t>
      </w:r>
    </w:p>
    <w:p>
      <w:pPr>
        <w:keepLines/>
        <w:spacing w:before="0" w:after="120" w:line="264" w:lineRule="auto"/>
      </w:pPr>
      <w:r>
        <w:rPr>
          <w:rFonts w:ascii="Calibri" w:hAnsi="Calibri"/>
          <w:b w:val="0"/>
          <w:i w:val="0"/>
          <w:color w:val="0A0A0C"/>
          <w:sz w:val="22"/>
        </w:rPr>
        <w:t>hello@ack3.ai</w:t>
      </w:r>
    </w:p>
    <w:p>
      <w:pPr>
        <w:keepLines/>
        <w:spacing w:before="0" w:after="120" w:line="264" w:lineRule="auto"/>
      </w:pPr>
      <w:r>
        <w:rPr>
          <w:rFonts w:ascii="Calibri" w:hAnsi="Calibri"/>
          <w:b w:val="0"/>
          <w:i w:val="0"/>
          <w:color w:val="0A0A0C"/>
          <w:sz w:val="22"/>
        </w:rPr>
        <w:t>https://ack3.ai/contact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40" w:lineRule="auto"/>
      <w:jc w:val="right"/>
    </w:pPr>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tabs>
        <w:tab w:pos="9360" w:val="right"/>
      </w:tabs>
      <w:spacing w:before="0" w:after="0" w:line="240" w:lineRule="auto"/>
    </w:pPr>
    <w:r>
      <w:rPr>
        <w:rFonts w:ascii="Arial" w:hAnsi="Arial"/>
        <w:b/>
        <w:i w:val="0"/>
        <w:color w:val="5A5A60"/>
        <w:sz w:val="17"/>
      </w:rPr>
      <w:t>PRESS RELEASE</w:t>
    </w:r>
    <w:r>
      <w:rPr>
        <w:rFonts w:ascii="Arial" w:hAnsi="Arial"/>
        <w:b/>
        <w:i w:val="0"/>
        <w:color w:val="5A5A60"/>
        <w:sz w:val="17"/>
      </w:rPr>
      <w:tab/>
      <w:t>ack3 RESEARCH / H1 2026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Calibri" w:hAnsi="Calibri"/>
      <w:color w:val="0A0A0C"/>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line="264" w:lineRule="auto"/>
      <w:outlineLvl w:val="0"/>
    </w:pPr>
    <w:rPr>
      <w:rFonts w:asciiTheme="majorHAnsi" w:eastAsiaTheme="majorEastAsia" w:hAnsiTheme="majorHAnsi" w:cstheme="majorBidi" w:ascii="Calibri" w:hAnsi="Calibri"/>
      <w:b/>
      <w:bCs/>
      <w:color w:val="0000DD"/>
      <w:sz w:val="32"/>
      <w:szCs w:val="28"/>
    </w:rPr>
  </w:style>
  <w:style w:type="paragraph" w:styleId="Heading2">
    <w:name w:val="heading 2"/>
    <w:basedOn w:val="Normal"/>
    <w:next w:val="Normal"/>
    <w:link w:val="Heading2Char"/>
    <w:uiPriority w:val="9"/>
    <w:unhideWhenUsed/>
    <w:qFormat/>
    <w:rsid w:val="00FC693F"/>
    <w:pPr>
      <w:keepNext/>
      <w:keepLines/>
      <w:spacing w:before="240" w:after="120" w:line="264" w:lineRule="auto"/>
      <w:outlineLvl w:val="1"/>
    </w:pPr>
    <w:rPr>
      <w:rFonts w:asciiTheme="majorHAnsi" w:eastAsiaTheme="majorEastAsia" w:hAnsiTheme="majorHAnsi" w:cstheme="majorBidi" w:ascii="Calibri" w:hAnsi="Calibri"/>
      <w:b/>
      <w:bCs/>
      <w:color w:val="0000DD"/>
      <w:sz w:val="26"/>
      <w:szCs w:val="26"/>
    </w:rPr>
  </w:style>
  <w:style w:type="paragraph" w:styleId="Heading3">
    <w:name w:val="heading 3"/>
    <w:basedOn w:val="Normal"/>
    <w:next w:val="Normal"/>
    <w:link w:val="Heading3Char"/>
    <w:uiPriority w:val="9"/>
    <w:unhideWhenUsed/>
    <w:qFormat/>
    <w:rsid w:val="00FC693F"/>
    <w:pPr>
      <w:keepNext/>
      <w:keepLines/>
      <w:spacing w:before="160" w:after="80" w:line="264"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Audited Did Not Mean Covered: 94% of H1 Crypto Losses at Audited Victims Fell Outside Audit Scope, ack3 Research Finds</dc:title>
  <dc:subject>ack3 Research - DeFi Hacks H1 2026</dc:subject>
  <dc:creator>ack3 Research</dc:creator>
  <cp:keywords>DeFi hacks, crypto security, audit scope, H1 2026</cp:keywords>
  <dc:description>Dataset v1.0; generated 2026-07-01</dc:description>
  <cp:lastModifiedBy/>
  <cp:revision>1</cp:revision>
  <dcterms:created xsi:type="dcterms:W3CDTF">2013-12-23T23:15:00Z</dcterms:created>
  <dcterms:modified xsi:type="dcterms:W3CDTF">2013-12-23T23:15:00Z</dcterms:modified>
  <cp:category/>
</cp:coreProperties>
</file>